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435FD0" w:rsidRDefault="00F92268" w:rsidP="00850792">
      <w:pPr>
        <w:pStyle w:val="BodyText"/>
        <w:rPr>
          <w:sz w:val="6"/>
          <w:szCs w:val="6"/>
        </w:rPr>
      </w:pPr>
      <w:r w:rsidRPr="00435FD0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435FD0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35FD0" w:rsidRDefault="00F92268" w:rsidP="00F246C7">
            <w:pPr>
              <w:pStyle w:val="RefTableData"/>
            </w:pPr>
            <w:r w:rsidRPr="00435FD0">
              <w:t>Reference number(s)</w:t>
            </w:r>
          </w:p>
        </w:tc>
      </w:tr>
      <w:tr w:rsidR="00F92268" w:rsidRPr="00435FD0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957F4F7" w:rsidR="00F92268" w:rsidRPr="00435FD0" w:rsidRDefault="00B64708" w:rsidP="00F246C7">
            <w:pPr>
              <w:pStyle w:val="RefTableHeader"/>
            </w:pPr>
            <w:r w:rsidRPr="00435FD0">
              <w:t>1803-A</w:t>
            </w:r>
          </w:p>
        </w:tc>
      </w:tr>
    </w:tbl>
    <w:p w14:paraId="74FBA5B4" w14:textId="77777777" w:rsidR="00051356" w:rsidRPr="00435FD0" w:rsidRDefault="00051356" w:rsidP="00A672B3">
      <w:pPr>
        <w:pStyle w:val="BodyText"/>
        <w:rPr>
          <w:b/>
          <w:bCs/>
          <w:sz w:val="16"/>
          <w:szCs w:val="16"/>
        </w:rPr>
        <w:sectPr w:rsidR="00051356" w:rsidRPr="00435FD0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921C8F5" w:rsidR="004B15BB" w:rsidRPr="00435FD0" w:rsidRDefault="00B64708" w:rsidP="007E5C16">
      <w:pPr>
        <w:pStyle w:val="Heading1"/>
      </w:pPr>
      <w:r w:rsidRPr="00435FD0">
        <w:t>Specialty Guideline Management</w:t>
      </w:r>
      <w:r w:rsidRPr="00435FD0">
        <w:br/>
        <w:t>Krystexxa</w:t>
      </w:r>
    </w:p>
    <w:p w14:paraId="78861C92" w14:textId="3799B8F1" w:rsidR="00203468" w:rsidRPr="00435FD0" w:rsidRDefault="00C64534" w:rsidP="008E0F0D">
      <w:pPr>
        <w:pStyle w:val="Heading2"/>
      </w:pPr>
      <w:r w:rsidRPr="00435FD0">
        <w:t xml:space="preserve">Products Referenced by this </w:t>
      </w:r>
      <w:r w:rsidR="00501602" w:rsidRPr="00435FD0">
        <w:t>Document</w:t>
      </w:r>
    </w:p>
    <w:p w14:paraId="5455152B" w14:textId="5A25A843" w:rsidR="008E0F0D" w:rsidRPr="00435FD0" w:rsidRDefault="00D82D85" w:rsidP="008B73E8">
      <w:pPr>
        <w:pStyle w:val="BodyText"/>
      </w:pPr>
      <w:r w:rsidRPr="00435FD0">
        <w:t xml:space="preserve">Drugs that are listed in the </w:t>
      </w:r>
      <w:r w:rsidR="000315F1" w:rsidRPr="00435FD0">
        <w:t>following table</w:t>
      </w:r>
      <w:r w:rsidRPr="00435FD0">
        <w:t xml:space="preserve"> include both brand and generic and all dosage forms and strengths unless otherwise stated. </w:t>
      </w:r>
      <w:r w:rsidR="00C82CA6" w:rsidRPr="00C82CA6">
        <w:t>Over-the-counter (OTC)</w:t>
      </w:r>
      <w:r w:rsidRPr="00435FD0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85"/>
        <w:gridCol w:w="5385"/>
      </w:tblGrid>
      <w:tr w:rsidR="00252CE1" w:rsidRPr="00435FD0" w14:paraId="158421F8" w14:textId="77777777" w:rsidTr="005A656C">
        <w:trPr>
          <w:cantSplit/>
          <w:trHeight w:val="288"/>
          <w:tblHeader/>
        </w:trPr>
        <w:tc>
          <w:tcPr>
            <w:tcW w:w="5385" w:type="dxa"/>
            <w:vAlign w:val="center"/>
          </w:tcPr>
          <w:p w14:paraId="2A27354A" w14:textId="1390179E" w:rsidR="00252CE1" w:rsidRPr="00435FD0" w:rsidRDefault="00252CE1" w:rsidP="00AA1E6A">
            <w:pPr>
              <w:pStyle w:val="TableHeader"/>
            </w:pPr>
            <w:bookmarkStart w:id="0" w:name="_Hlk159603270"/>
            <w:r w:rsidRPr="00435FD0">
              <w:t>Brand Name</w:t>
            </w:r>
          </w:p>
        </w:tc>
        <w:tc>
          <w:tcPr>
            <w:tcW w:w="5385" w:type="dxa"/>
            <w:vAlign w:val="center"/>
          </w:tcPr>
          <w:p w14:paraId="3D342BE1" w14:textId="75F11EF1" w:rsidR="00252CE1" w:rsidRPr="00435FD0" w:rsidRDefault="00252CE1" w:rsidP="00AA1E6A">
            <w:pPr>
              <w:pStyle w:val="TableHeader"/>
            </w:pPr>
            <w:r w:rsidRPr="00435FD0">
              <w:t>Generic Name</w:t>
            </w:r>
          </w:p>
        </w:tc>
      </w:tr>
      <w:tr w:rsidR="00585FFF" w:rsidRPr="00435FD0" w14:paraId="2AD5C02D" w14:textId="77777777" w:rsidTr="005A656C">
        <w:trPr>
          <w:cantSplit/>
        </w:trPr>
        <w:tc>
          <w:tcPr>
            <w:tcW w:w="5385" w:type="dxa"/>
          </w:tcPr>
          <w:p w14:paraId="2D8FA8E3" w14:textId="41B078CD" w:rsidR="00585FFF" w:rsidRPr="00435FD0" w:rsidRDefault="00B64708" w:rsidP="00E82ABA">
            <w:pPr>
              <w:pStyle w:val="TableDataUnpadded"/>
            </w:pPr>
            <w:r w:rsidRPr="00435FD0">
              <w:t>Krystexxa</w:t>
            </w:r>
          </w:p>
        </w:tc>
        <w:tc>
          <w:tcPr>
            <w:tcW w:w="5385" w:type="dxa"/>
          </w:tcPr>
          <w:p w14:paraId="7E26A004" w14:textId="38F69594" w:rsidR="00585FFF" w:rsidRPr="00435FD0" w:rsidRDefault="00B64708" w:rsidP="00E82ABA">
            <w:pPr>
              <w:pStyle w:val="TableDataUnpadded"/>
            </w:pPr>
            <w:proofErr w:type="spellStart"/>
            <w:r w:rsidRPr="00435FD0">
              <w:t>pegloticase</w:t>
            </w:r>
            <w:proofErr w:type="spellEnd"/>
          </w:p>
        </w:tc>
      </w:tr>
    </w:tbl>
    <w:bookmarkEnd w:id="0"/>
    <w:p w14:paraId="14CE6108" w14:textId="4B01FE31" w:rsidR="00FC1AAD" w:rsidRPr="00435FD0" w:rsidRDefault="00ED052F" w:rsidP="00AA2A94">
      <w:pPr>
        <w:pStyle w:val="Heading2"/>
        <w:tabs>
          <w:tab w:val="left" w:pos="9540"/>
        </w:tabs>
      </w:pPr>
      <w:r w:rsidRPr="00435FD0">
        <w:t>Indications</w:t>
      </w:r>
    </w:p>
    <w:p w14:paraId="6FD6D7E7" w14:textId="4B5E80B6" w:rsidR="00B64708" w:rsidRPr="00435FD0" w:rsidRDefault="00B64708" w:rsidP="00B64708">
      <w:r w:rsidRPr="00435FD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2590E12" w:rsidR="00ED052F" w:rsidRPr="00435FD0" w:rsidRDefault="00ED052F" w:rsidP="00ED052F">
      <w:pPr>
        <w:pStyle w:val="Heading3"/>
        <w:keepNext w:val="0"/>
      </w:pPr>
      <w:r w:rsidRPr="00435FD0">
        <w:t>FDA-</w:t>
      </w:r>
      <w:r w:rsidR="008A4559">
        <w:t>A</w:t>
      </w:r>
      <w:r w:rsidRPr="00435FD0">
        <w:t>pproved Indications</w:t>
      </w:r>
      <w:r w:rsidR="00B64708" w:rsidRPr="00435FD0">
        <w:rPr>
          <w:vertAlign w:val="superscript"/>
        </w:rPr>
        <w:t>1</w:t>
      </w:r>
    </w:p>
    <w:p w14:paraId="71EFC9F9" w14:textId="429CF379" w:rsidR="00B64708" w:rsidRPr="00435FD0" w:rsidRDefault="00B64708" w:rsidP="00B64708">
      <w:pPr>
        <w:pStyle w:val="BodyText"/>
      </w:pPr>
      <w:r w:rsidRPr="00435FD0">
        <w:t>Krystexxa is indicated for the treatment of chronic gout in adult patients refractory to conventional therapy.</w:t>
      </w:r>
    </w:p>
    <w:p w14:paraId="17244F85" w14:textId="77777777" w:rsidR="00B64708" w:rsidRPr="00435FD0" w:rsidRDefault="00B64708" w:rsidP="008A4559">
      <w:pPr>
        <w:pStyle w:val="Heading4"/>
      </w:pPr>
      <w:r w:rsidRPr="00435FD0">
        <w:t>Limitations of Use</w:t>
      </w:r>
    </w:p>
    <w:p w14:paraId="38258867" w14:textId="496BD89E" w:rsidR="00B64708" w:rsidRPr="00435FD0" w:rsidRDefault="00B64708" w:rsidP="00B64708">
      <w:pPr>
        <w:pStyle w:val="BodyText"/>
      </w:pPr>
      <w:r w:rsidRPr="00435FD0">
        <w:t>Krystexxa is not recommended for the treatment of asymptomatic hyperuricemia.</w:t>
      </w:r>
    </w:p>
    <w:p w14:paraId="65B4113D" w14:textId="12EEA92B" w:rsidR="00B64708" w:rsidRPr="00435FD0" w:rsidRDefault="00B64708" w:rsidP="00B64708">
      <w:pPr>
        <w:pStyle w:val="BodyText"/>
      </w:pPr>
      <w:r w:rsidRPr="00435FD0">
        <w:t>All other indications are considered experimental/investigational and not medically necessary.</w:t>
      </w:r>
    </w:p>
    <w:p w14:paraId="36381B6D" w14:textId="4A007417" w:rsidR="000D2496" w:rsidRPr="00435FD0" w:rsidRDefault="000D2496" w:rsidP="000D2496">
      <w:pPr>
        <w:pStyle w:val="Heading2"/>
      </w:pPr>
      <w:r w:rsidRPr="00435FD0">
        <w:t>Documentation</w:t>
      </w:r>
    </w:p>
    <w:p w14:paraId="56C5A5A8" w14:textId="190E2F5E" w:rsidR="00B64708" w:rsidRPr="00435FD0" w:rsidRDefault="00B64708" w:rsidP="008A4559">
      <w:pPr>
        <w:pStyle w:val="BodyText"/>
      </w:pPr>
      <w:r w:rsidRPr="00435FD0">
        <w:t>Submission of the following information is necessary to initiate the prior authorization review for continuation of therapy requests: documentation (e.g., chart notes, lab test results) of a response to therapy (e.g., serum uric acid levels &lt; 6 mg/dL, reduction of tophi, reduction of symptoms and/or flares).</w:t>
      </w:r>
    </w:p>
    <w:p w14:paraId="50A38FBA" w14:textId="2C589260" w:rsidR="00FE0C63" w:rsidRPr="00435FD0" w:rsidRDefault="00685107" w:rsidP="001A1046">
      <w:pPr>
        <w:pStyle w:val="Heading2"/>
        <w:tabs>
          <w:tab w:val="left" w:pos="9380"/>
        </w:tabs>
      </w:pPr>
      <w:r w:rsidRPr="00435FD0">
        <w:lastRenderedPageBreak/>
        <w:t>Coverage Criteria</w:t>
      </w:r>
    </w:p>
    <w:p w14:paraId="6C20BC7C" w14:textId="3F831BF5" w:rsidR="00B64708" w:rsidRPr="00435FD0" w:rsidRDefault="00B64708" w:rsidP="00B64708">
      <w:pPr>
        <w:pStyle w:val="Heading3"/>
      </w:pPr>
      <w:r w:rsidRPr="00435FD0">
        <w:t xml:space="preserve">Chronic </w:t>
      </w:r>
      <w:r w:rsidR="008A4559" w:rsidRPr="00435FD0">
        <w:t>Gout</w:t>
      </w:r>
      <w:r w:rsidR="008A4559" w:rsidRPr="00435FD0">
        <w:rPr>
          <w:vertAlign w:val="superscript"/>
        </w:rPr>
        <w:t>1</w:t>
      </w:r>
      <w:r w:rsidRPr="00435FD0">
        <w:rPr>
          <w:vertAlign w:val="superscript"/>
        </w:rPr>
        <w:t>-1</w:t>
      </w:r>
      <w:r w:rsidR="00F640D0">
        <w:rPr>
          <w:vertAlign w:val="superscript"/>
        </w:rPr>
        <w:t>0</w:t>
      </w:r>
    </w:p>
    <w:p w14:paraId="3EEBC261" w14:textId="7FCE3A09" w:rsidR="00B64708" w:rsidRPr="00435FD0" w:rsidRDefault="00B64708" w:rsidP="00B64708">
      <w:pPr>
        <w:pStyle w:val="BodyText"/>
      </w:pPr>
      <w:r w:rsidRPr="00435FD0">
        <w:t>Authorization of 12 months may be granted for members with a diagnosis of chronic gout when ALL of the following criteria are met:</w:t>
      </w:r>
    </w:p>
    <w:p w14:paraId="758CDB47" w14:textId="30BE6826" w:rsidR="00B64708" w:rsidRPr="00435FD0" w:rsidRDefault="00B64708" w:rsidP="00B64708">
      <w:pPr>
        <w:pStyle w:val="ListParagraph"/>
        <w:numPr>
          <w:ilvl w:val="0"/>
          <w:numId w:val="28"/>
        </w:numPr>
      </w:pPr>
      <w:r w:rsidRPr="00435FD0">
        <w:t>Member is 18 years of age or older.</w:t>
      </w:r>
    </w:p>
    <w:p w14:paraId="37C51D0B" w14:textId="5266C06C" w:rsidR="00B64708" w:rsidRPr="00435FD0" w:rsidRDefault="00B64708" w:rsidP="00B64708">
      <w:pPr>
        <w:pStyle w:val="ListParagraph"/>
        <w:numPr>
          <w:ilvl w:val="0"/>
          <w:numId w:val="28"/>
        </w:numPr>
      </w:pPr>
      <w:r w:rsidRPr="00435FD0">
        <w:t>The requested medication will NOT be used concomitantly with oral urate-lowering therapies.</w:t>
      </w:r>
    </w:p>
    <w:p w14:paraId="1FF7F85A" w14:textId="6CE11D92" w:rsidR="00B64708" w:rsidRPr="00435FD0" w:rsidRDefault="00B64708" w:rsidP="00B64708">
      <w:pPr>
        <w:pStyle w:val="ListParagraph"/>
        <w:numPr>
          <w:ilvl w:val="0"/>
          <w:numId w:val="28"/>
        </w:numPr>
      </w:pPr>
      <w:r w:rsidRPr="00435FD0">
        <w:t>The member has at least 2 flares per year that were inadequately controlled by colchicine or NSAIDs or at least 1 gout tophus or gouty arthritis.</w:t>
      </w:r>
    </w:p>
    <w:p w14:paraId="06FF67DF" w14:textId="4271028E" w:rsidR="00B64708" w:rsidRPr="00435FD0" w:rsidRDefault="00B64708" w:rsidP="00B64708">
      <w:pPr>
        <w:pStyle w:val="ListParagraph"/>
        <w:numPr>
          <w:ilvl w:val="0"/>
          <w:numId w:val="28"/>
        </w:numPr>
      </w:pPr>
      <w:r w:rsidRPr="00435FD0">
        <w:t>Member has had an inadequate response to or a clinical reason for not completing at least a three-month trial (see Appendix A) with the following medications at the medically appropriate maximum doses:</w:t>
      </w:r>
    </w:p>
    <w:p w14:paraId="0F407AF4" w14:textId="09FE544B" w:rsidR="00B64708" w:rsidRPr="00435FD0" w:rsidRDefault="00B64708" w:rsidP="00B64708">
      <w:pPr>
        <w:pStyle w:val="ListParagraph"/>
        <w:numPr>
          <w:ilvl w:val="1"/>
          <w:numId w:val="31"/>
        </w:numPr>
      </w:pPr>
      <w:r w:rsidRPr="00435FD0">
        <w:t>Allopurinol or febuxostat</w:t>
      </w:r>
    </w:p>
    <w:p w14:paraId="37B9AB2C" w14:textId="075B6664" w:rsidR="00B64708" w:rsidRPr="00435FD0" w:rsidRDefault="00B64708" w:rsidP="00B64708">
      <w:pPr>
        <w:pStyle w:val="ListParagraph"/>
        <w:numPr>
          <w:ilvl w:val="1"/>
          <w:numId w:val="31"/>
        </w:numPr>
      </w:pPr>
      <w:r w:rsidRPr="00435FD0">
        <w:t>Probenecid (alone or in combination with allopurinol or febuxostat)</w:t>
      </w:r>
    </w:p>
    <w:p w14:paraId="68E88A3A" w14:textId="5BE847BE" w:rsidR="00B64708" w:rsidRPr="00435FD0" w:rsidRDefault="00B64708" w:rsidP="00B64708">
      <w:pPr>
        <w:pStyle w:val="ListParagraph"/>
        <w:numPr>
          <w:ilvl w:val="0"/>
          <w:numId w:val="28"/>
        </w:numPr>
      </w:pPr>
      <w:r w:rsidRPr="00435FD0">
        <w:t>The member meets one of the following criteria:</w:t>
      </w:r>
    </w:p>
    <w:p w14:paraId="3C0BCBB5" w14:textId="3DFD2344" w:rsidR="00B64708" w:rsidRPr="00435FD0" w:rsidRDefault="00B64708" w:rsidP="008A4559">
      <w:pPr>
        <w:pStyle w:val="ListParagraph"/>
        <w:numPr>
          <w:ilvl w:val="1"/>
          <w:numId w:val="31"/>
        </w:numPr>
      </w:pPr>
      <w:r w:rsidRPr="00435FD0">
        <w:t xml:space="preserve">The requested medication will be co-administered with weekly oral methotrexate and folic acid or folinic acid supplementation, or </w:t>
      </w:r>
    </w:p>
    <w:p w14:paraId="1324C3C7" w14:textId="26A3B504" w:rsidR="00B64708" w:rsidRPr="00435FD0" w:rsidRDefault="00B64708" w:rsidP="008A4559">
      <w:pPr>
        <w:pStyle w:val="ListParagraph"/>
        <w:numPr>
          <w:ilvl w:val="1"/>
          <w:numId w:val="31"/>
        </w:numPr>
      </w:pPr>
      <w:r w:rsidRPr="00435FD0">
        <w:t>The member has a contraindication to or clinical reason to avoid oral methotrexate therapy (see Appendix B).</w:t>
      </w:r>
    </w:p>
    <w:p w14:paraId="3A643EC3" w14:textId="3E20B6CB" w:rsidR="00A501AC" w:rsidRPr="00435FD0" w:rsidRDefault="00A501AC" w:rsidP="00A501AC">
      <w:pPr>
        <w:pStyle w:val="Heading2"/>
      </w:pPr>
      <w:r w:rsidRPr="00435FD0">
        <w:t>Continuation of Therapy</w:t>
      </w:r>
    </w:p>
    <w:p w14:paraId="5B768785" w14:textId="77777777" w:rsidR="00B64708" w:rsidRPr="00435FD0" w:rsidRDefault="00B64708" w:rsidP="00B64708">
      <w:pPr>
        <w:pStyle w:val="BodyText"/>
      </w:pPr>
      <w:r w:rsidRPr="00435FD0">
        <w:t>Authorization of 12 months may be granted for continued treatment of chronic gout when ALL of the following criteria are met:</w:t>
      </w:r>
    </w:p>
    <w:p w14:paraId="6D39DE3E" w14:textId="307234BE" w:rsidR="00B64708" w:rsidRPr="00435FD0" w:rsidRDefault="00B64708" w:rsidP="00B64708">
      <w:pPr>
        <w:pStyle w:val="ListParagraph"/>
        <w:numPr>
          <w:ilvl w:val="0"/>
          <w:numId w:val="32"/>
        </w:numPr>
      </w:pPr>
      <w:r w:rsidRPr="00435FD0">
        <w:t>Member is 18 years of age or older.</w:t>
      </w:r>
    </w:p>
    <w:p w14:paraId="600FE410" w14:textId="3DFBDD60" w:rsidR="00B64708" w:rsidRPr="00435FD0" w:rsidRDefault="00B64708" w:rsidP="00B64708">
      <w:pPr>
        <w:pStyle w:val="ListParagraph"/>
        <w:numPr>
          <w:ilvl w:val="0"/>
          <w:numId w:val="32"/>
        </w:numPr>
      </w:pPr>
      <w:r w:rsidRPr="00435FD0">
        <w:t>The requested medication will NOT be used concomitantly with oral urate-lowering therapies.</w:t>
      </w:r>
    </w:p>
    <w:p w14:paraId="5CAD173F" w14:textId="26FF790F" w:rsidR="00B64708" w:rsidRPr="00435FD0" w:rsidRDefault="00B64708" w:rsidP="00B64708">
      <w:pPr>
        <w:pStyle w:val="ListParagraph"/>
        <w:numPr>
          <w:ilvl w:val="0"/>
          <w:numId w:val="32"/>
        </w:numPr>
      </w:pPr>
      <w:r w:rsidRPr="00435FD0">
        <w:t>The member meets one of the following:</w:t>
      </w:r>
    </w:p>
    <w:p w14:paraId="7761B921" w14:textId="774C889F" w:rsidR="00B64708" w:rsidRPr="00435FD0" w:rsidRDefault="00B64708" w:rsidP="00B64708">
      <w:pPr>
        <w:pStyle w:val="ListParagraph"/>
        <w:numPr>
          <w:ilvl w:val="1"/>
          <w:numId w:val="34"/>
        </w:numPr>
      </w:pPr>
      <w:r w:rsidRPr="00435FD0">
        <w:t>The requested medication will be co-administered with weekly oral methotrexate and folic acid or folinic acid supplementation, or</w:t>
      </w:r>
    </w:p>
    <w:p w14:paraId="7B0820BE" w14:textId="0DF12607" w:rsidR="00B64708" w:rsidRPr="00435FD0" w:rsidRDefault="00B64708" w:rsidP="00B64708">
      <w:pPr>
        <w:pStyle w:val="ListParagraph"/>
        <w:numPr>
          <w:ilvl w:val="1"/>
          <w:numId w:val="34"/>
        </w:numPr>
      </w:pPr>
      <w:r w:rsidRPr="00435FD0">
        <w:t>The member has a contraindication to or clinical reason to avoid oral methotrexate therapy (see Appendix B).</w:t>
      </w:r>
    </w:p>
    <w:p w14:paraId="01DD1FAC" w14:textId="72DA5E23" w:rsidR="00B64708" w:rsidRPr="00435FD0" w:rsidRDefault="00B64708" w:rsidP="00B64708">
      <w:pPr>
        <w:pStyle w:val="ListParagraph"/>
        <w:numPr>
          <w:ilvl w:val="0"/>
          <w:numId w:val="32"/>
        </w:numPr>
      </w:pPr>
      <w:r w:rsidRPr="00435FD0">
        <w:t>Member has NOT had two consecutive uric acid levels above 6 mg/dL since starting treatment with the requested medication.</w:t>
      </w:r>
    </w:p>
    <w:p w14:paraId="1621CB6C" w14:textId="189263B9" w:rsidR="00B64708" w:rsidRPr="00435FD0" w:rsidRDefault="00B64708" w:rsidP="00B64708">
      <w:pPr>
        <w:pStyle w:val="ListParagraph"/>
        <w:numPr>
          <w:ilvl w:val="0"/>
          <w:numId w:val="32"/>
        </w:numPr>
      </w:pPr>
      <w:r w:rsidRPr="00435FD0">
        <w:t>Member is experiencing benefit from therapy (e.g., serum uric acid levels &lt; 6 mg/dL, reduction of tophi, reduction of symptoms and/or flares).</w:t>
      </w:r>
    </w:p>
    <w:p w14:paraId="784D6ED7" w14:textId="71B4ED4D" w:rsidR="008B1332" w:rsidRPr="00435FD0" w:rsidRDefault="00567768" w:rsidP="008B1332">
      <w:pPr>
        <w:pStyle w:val="Heading2"/>
      </w:pPr>
      <w:r w:rsidRPr="00435FD0">
        <w:t>Appendi</w:t>
      </w:r>
      <w:r>
        <w:t>x</w:t>
      </w:r>
    </w:p>
    <w:p w14:paraId="49A5F6B9" w14:textId="3707BB90" w:rsidR="00B64708" w:rsidRPr="00435FD0" w:rsidRDefault="00B64708" w:rsidP="00B64708">
      <w:pPr>
        <w:pStyle w:val="Heading3"/>
      </w:pPr>
      <w:r w:rsidRPr="00435FD0">
        <w:t>Appendix A</w:t>
      </w:r>
      <w:r w:rsidR="008A4559" w:rsidRPr="00435FD0">
        <w:t xml:space="preserve">: </w:t>
      </w:r>
      <w:r w:rsidRPr="00435FD0">
        <w:t xml:space="preserve">Clinical </w:t>
      </w:r>
      <w:r w:rsidR="008A4559" w:rsidRPr="00435FD0">
        <w:t xml:space="preserve">Reasons </w:t>
      </w:r>
      <w:r w:rsidR="008A4559">
        <w:t>f</w:t>
      </w:r>
      <w:r w:rsidR="008A4559" w:rsidRPr="00435FD0">
        <w:t xml:space="preserve">or </w:t>
      </w:r>
      <w:r w:rsidR="008A4559">
        <w:t>n</w:t>
      </w:r>
      <w:r w:rsidR="008A4559" w:rsidRPr="00435FD0">
        <w:t xml:space="preserve">ot Completing </w:t>
      </w:r>
      <w:r w:rsidR="008A4559">
        <w:t>a</w:t>
      </w:r>
      <w:r w:rsidR="008A4559" w:rsidRPr="00435FD0">
        <w:t xml:space="preserve"> </w:t>
      </w:r>
      <w:r w:rsidR="008A4559">
        <w:t>T</w:t>
      </w:r>
      <w:r w:rsidR="008A4559" w:rsidRPr="00435FD0">
        <w:t>hree-</w:t>
      </w:r>
      <w:r w:rsidR="008A4559">
        <w:t>M</w:t>
      </w:r>
      <w:r w:rsidR="008A4559" w:rsidRPr="00435FD0">
        <w:t xml:space="preserve">onth </w:t>
      </w:r>
      <w:r w:rsidR="008A4559">
        <w:t>T</w:t>
      </w:r>
      <w:r w:rsidR="008A4559" w:rsidRPr="00435FD0">
        <w:t xml:space="preserve">rial </w:t>
      </w:r>
      <w:r w:rsidR="008A4559">
        <w:t>w</w:t>
      </w:r>
      <w:r w:rsidR="008A4559" w:rsidRPr="00435FD0">
        <w:t xml:space="preserve">ith Allopurinol, Febuxostat, </w:t>
      </w:r>
      <w:r w:rsidR="008A4559">
        <w:t>a</w:t>
      </w:r>
      <w:r w:rsidR="008A4559" w:rsidRPr="00435FD0">
        <w:t>nd Probenecid</w:t>
      </w:r>
      <w:r w:rsidRPr="00435FD0">
        <w:t xml:space="preserve"> (examples, not all inclusive)</w:t>
      </w:r>
    </w:p>
    <w:p w14:paraId="7EF6E19B" w14:textId="157BCE97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experienced a severe allergic reaction to the medication</w:t>
      </w:r>
    </w:p>
    <w:p w14:paraId="603A05AC" w14:textId="53E5E354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experienced toxicity with the medication</w:t>
      </w:r>
    </w:p>
    <w:p w14:paraId="2CF875D2" w14:textId="69896687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could not tolerate the medication</w:t>
      </w:r>
    </w:p>
    <w:p w14:paraId="52CCC710" w14:textId="45009071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Member’s current medication regimen has a significant drug interaction</w:t>
      </w:r>
    </w:p>
    <w:p w14:paraId="14FD9F7C" w14:textId="616DE6C4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has severe renal dysfunction (allopurinol)</w:t>
      </w:r>
    </w:p>
    <w:p w14:paraId="60DC1663" w14:textId="1C95FF93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has known blood dyscrasias or uric acid kidney stones (probenecid)</w:t>
      </w:r>
    </w:p>
    <w:p w14:paraId="7653B299" w14:textId="27EB895B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has renal insufficiency (i.e., glomerular filtration rate 30 mL/minute or less) (probenecid)</w:t>
      </w:r>
    </w:p>
    <w:p w14:paraId="03F7813C" w14:textId="52771500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has end stage renal impairment (febuxostat)</w:t>
      </w:r>
    </w:p>
    <w:p w14:paraId="417C5D58" w14:textId="27F0483C" w:rsidR="00B64708" w:rsidRPr="00435FD0" w:rsidRDefault="00B64708" w:rsidP="00B64708">
      <w:pPr>
        <w:pStyle w:val="ListParagraph"/>
        <w:numPr>
          <w:ilvl w:val="0"/>
          <w:numId w:val="35"/>
        </w:numPr>
      </w:pPr>
      <w:r w:rsidRPr="00435FD0">
        <w:t>Member has a history of CVD or a new CV event (febuxostat)</w:t>
      </w:r>
    </w:p>
    <w:p w14:paraId="5B15C146" w14:textId="65EA45BF" w:rsidR="00B64708" w:rsidRPr="00435FD0" w:rsidRDefault="00B64708" w:rsidP="001A1046">
      <w:pPr>
        <w:pStyle w:val="Heading3"/>
      </w:pPr>
      <w:r w:rsidRPr="00435FD0">
        <w:t>Appendix B</w:t>
      </w:r>
      <w:r w:rsidR="00DC3463" w:rsidRPr="00435FD0">
        <w:t xml:space="preserve">: </w:t>
      </w:r>
      <w:r w:rsidRPr="00435FD0">
        <w:t>Contraindications</w:t>
      </w:r>
      <w:r w:rsidR="00DC3463" w:rsidRPr="00435FD0">
        <w:t xml:space="preserve">/Clinical Reasons </w:t>
      </w:r>
      <w:r w:rsidR="00DC3463">
        <w:t>t</w:t>
      </w:r>
      <w:r w:rsidR="00DC3463" w:rsidRPr="00435FD0">
        <w:t>o Avoid Oral Methotrexate Therapy</w:t>
      </w:r>
      <w:r w:rsidRPr="00435FD0">
        <w:t xml:space="preserve"> (examples, not all inclusive)</w:t>
      </w:r>
      <w:r w:rsidRPr="00435FD0">
        <w:rPr>
          <w:vertAlign w:val="superscript"/>
        </w:rPr>
        <w:t>1</w:t>
      </w:r>
      <w:r w:rsidR="009A42EE">
        <w:rPr>
          <w:vertAlign w:val="superscript"/>
        </w:rPr>
        <w:t>1</w:t>
      </w:r>
    </w:p>
    <w:p w14:paraId="6CA47F22" w14:textId="71BD9ED7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Clinical diagnosis of alcohol use disorder, alcoholic liver disease, or other chronic liver disease</w:t>
      </w:r>
    </w:p>
    <w:p w14:paraId="7DAE19FC" w14:textId="01E82B5B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Breastfeeding</w:t>
      </w:r>
    </w:p>
    <w:p w14:paraId="1B27C246" w14:textId="3B1547C3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Blood dyscrasias (e.g., thrombocytopenia, leukopenia, significant anemia)</w:t>
      </w:r>
    </w:p>
    <w:p w14:paraId="5F54B64B" w14:textId="1BADC799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Elevated liver transaminases</w:t>
      </w:r>
    </w:p>
    <w:p w14:paraId="4FE2444B" w14:textId="6A6FD4D8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History of intolerance or adverse event</w:t>
      </w:r>
    </w:p>
    <w:p w14:paraId="3662E469" w14:textId="75D8EE25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Hypersensitivity</w:t>
      </w:r>
    </w:p>
    <w:p w14:paraId="0AE170F5" w14:textId="62780EAC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Interstitial pneumonitis or clinically significant pulmonary fibrosis</w:t>
      </w:r>
    </w:p>
    <w:p w14:paraId="05B70E32" w14:textId="03D4B329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Myelodysplasia</w:t>
      </w:r>
    </w:p>
    <w:p w14:paraId="5AA84790" w14:textId="5CCFA2FD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Pregnancy or currently planning pregnancy</w:t>
      </w:r>
    </w:p>
    <w:p w14:paraId="04CE5062" w14:textId="0A238F82" w:rsidR="00B64708" w:rsidRPr="00435FD0" w:rsidRDefault="00B64708" w:rsidP="001A1046">
      <w:pPr>
        <w:pStyle w:val="ListParagraph"/>
        <w:numPr>
          <w:ilvl w:val="0"/>
          <w:numId w:val="37"/>
        </w:numPr>
      </w:pPr>
      <w:r w:rsidRPr="00435FD0">
        <w:t>Renal impairment</w:t>
      </w:r>
    </w:p>
    <w:p w14:paraId="644539EF" w14:textId="283BCECA" w:rsidR="00B64708" w:rsidRDefault="00B64708" w:rsidP="001A1046">
      <w:pPr>
        <w:pStyle w:val="ListParagraph"/>
        <w:numPr>
          <w:ilvl w:val="0"/>
          <w:numId w:val="37"/>
        </w:numPr>
      </w:pPr>
      <w:r w:rsidRPr="00435FD0">
        <w:t>Significant drug interaction</w:t>
      </w:r>
    </w:p>
    <w:p w14:paraId="10DA4309" w14:textId="48D61885" w:rsidR="00FF66BF" w:rsidRPr="00435FD0" w:rsidRDefault="00FF66BF" w:rsidP="00FF66BF">
      <w:pPr>
        <w:pStyle w:val="Heading2"/>
      </w:pPr>
      <w:r w:rsidRPr="00435FD0">
        <w:t>References</w:t>
      </w:r>
    </w:p>
    <w:p w14:paraId="52C0F5C4" w14:textId="2D6E888A" w:rsidR="001A1046" w:rsidRPr="00DC3463" w:rsidRDefault="001A1046" w:rsidP="00DC3463">
      <w:pPr>
        <w:pStyle w:val="ReferenceOrdered"/>
      </w:pPr>
      <w:r w:rsidRPr="00DC3463">
        <w:t>Krystexxa [package insert]. Deerfield, IL: Horizon Therapeutics USA, Inc.; November 2022.</w:t>
      </w:r>
    </w:p>
    <w:p w14:paraId="4FA13ADE" w14:textId="4A37AADF" w:rsidR="001A1046" w:rsidRPr="00DC3463" w:rsidRDefault="001A1046" w:rsidP="00DC3463">
      <w:pPr>
        <w:pStyle w:val="ReferenceOrdered"/>
      </w:pPr>
      <w:r w:rsidRPr="00DC3463">
        <w:t xml:space="preserve">IBM Micromedex® DRUGDEX® (electronic version). IBM Watson Health, Greenwood Village, Colorado, USA. Available at http://www.micromedexsolutions.com. Accessed </w:t>
      </w:r>
      <w:r w:rsidR="0019544D">
        <w:t>November 8</w:t>
      </w:r>
      <w:r w:rsidRPr="00DC3463">
        <w:t>, 202</w:t>
      </w:r>
      <w:r w:rsidR="0019544D">
        <w:t>4</w:t>
      </w:r>
      <w:r w:rsidRPr="00DC3463">
        <w:t>.</w:t>
      </w:r>
    </w:p>
    <w:p w14:paraId="10D52D6B" w14:textId="77777777" w:rsidR="001A1046" w:rsidRPr="00DC3463" w:rsidRDefault="001A1046" w:rsidP="00DC3463">
      <w:pPr>
        <w:pStyle w:val="ReferenceOrdered"/>
      </w:pPr>
      <w:r w:rsidRPr="00DC3463">
        <w:t>Khanna D, Fitzgerald JD, Khanna PP, et al. 2012 American College of Rheumatology guidelines for management of gout. Part 1: systematic nonpharmacologic and pharmacologic therapeutic approaches to hyperuricemia. Arthritis Care Res. 2012;64(10):1431-1446.</w:t>
      </w:r>
    </w:p>
    <w:p w14:paraId="2580CB4F" w14:textId="3D42702B" w:rsidR="001A1046" w:rsidRPr="00DC3463" w:rsidRDefault="001A1046" w:rsidP="00DC3463">
      <w:pPr>
        <w:pStyle w:val="ReferenceOrdered"/>
      </w:pPr>
      <w:proofErr w:type="spellStart"/>
      <w:r w:rsidRPr="00DC3463">
        <w:t>Richette</w:t>
      </w:r>
      <w:proofErr w:type="spellEnd"/>
      <w:r w:rsidRPr="00DC3463">
        <w:t xml:space="preserve"> P, Doherty M, Pascual E, et al. 2016 updated EULAR evidence-based recommendations for the management of gout. Ann Rheum Dis. 2017;76:29-42.</w:t>
      </w:r>
    </w:p>
    <w:p w14:paraId="5904680B" w14:textId="2DAC5755" w:rsidR="001A1046" w:rsidRPr="00DC3463" w:rsidRDefault="001A1046" w:rsidP="00DC3463">
      <w:pPr>
        <w:pStyle w:val="ReferenceOrdered"/>
      </w:pPr>
      <w:r w:rsidRPr="00DC3463">
        <w:t xml:space="preserve">Khanna D, Khanna PP, Fitzgerald JD, et al. 2012 American College of Rheumatology guidelines for management of gout. Part 2: therapy and </w:t>
      </w:r>
      <w:proofErr w:type="spellStart"/>
      <w:r w:rsidRPr="00DC3463">
        <w:t>antiinflammatory</w:t>
      </w:r>
      <w:proofErr w:type="spellEnd"/>
      <w:r w:rsidRPr="00DC3463">
        <w:t xml:space="preserve"> prophylaxis of acute gouty arthritis. Arthritis Care Res. 2012;64(10):1447-1461.</w:t>
      </w:r>
    </w:p>
    <w:p w14:paraId="19185FBD" w14:textId="7C7EAB17" w:rsidR="001A1046" w:rsidRPr="00DC3463" w:rsidRDefault="001A1046" w:rsidP="00DC3463">
      <w:pPr>
        <w:pStyle w:val="ReferenceOrdered"/>
      </w:pPr>
      <w:r w:rsidRPr="00DC3463">
        <w:t>Hui M, Carr A, Cameron S, et al. The British Society for Rheumatology Guideline for the Management of Gout. Rheumatology. 2017;56(7):e1–e20. Available at https://doi.org/10.1093/rheumatology/kex156.</w:t>
      </w:r>
    </w:p>
    <w:p w14:paraId="571DA528" w14:textId="709DBFE4" w:rsidR="001A1046" w:rsidRPr="00DC3463" w:rsidRDefault="001A1046" w:rsidP="00DC3463">
      <w:pPr>
        <w:pStyle w:val="ReferenceOrdered"/>
      </w:pPr>
      <w:proofErr w:type="spellStart"/>
      <w:r w:rsidRPr="00DC3463">
        <w:t>Sivera</w:t>
      </w:r>
      <w:proofErr w:type="spellEnd"/>
      <w:r w:rsidRPr="00DC3463">
        <w:t xml:space="preserve"> F, Andres M, Carmona L, et al. Multinational evidence-based recommendations for the diagnosis and management of gout: integrating systematic literature review and expert opinion of a broad panel of rheumatologists in the 3e initiative. Ann Rheum Dis. 2014;73(2):328-335.</w:t>
      </w:r>
    </w:p>
    <w:p w14:paraId="253FC377" w14:textId="7354D00E" w:rsidR="001A1046" w:rsidRPr="00DC3463" w:rsidRDefault="001A1046" w:rsidP="00DC3463">
      <w:pPr>
        <w:pStyle w:val="ReferenceOrdered"/>
      </w:pPr>
      <w:r w:rsidRPr="00DC3463">
        <w:t>Probenecid [package insert]. Parsippany, NJ: Actavis Pharma, Inc.; December 2016.</w:t>
      </w:r>
    </w:p>
    <w:p w14:paraId="1A3A6D1F" w14:textId="12D758F3" w:rsidR="001A1046" w:rsidRPr="00DC3463" w:rsidRDefault="001A1046" w:rsidP="00DC3463">
      <w:pPr>
        <w:pStyle w:val="ReferenceOrdered"/>
      </w:pPr>
      <w:r w:rsidRPr="00DC3463">
        <w:t xml:space="preserve">Febuxostat [package insert]. Berkeley Heights, NJ: </w:t>
      </w:r>
      <w:proofErr w:type="spellStart"/>
      <w:r w:rsidRPr="00DC3463">
        <w:t>Hikma</w:t>
      </w:r>
      <w:proofErr w:type="spellEnd"/>
      <w:r w:rsidRPr="00DC3463">
        <w:t xml:space="preserve"> Pharmaceuticals USA Inc.; May 2023.</w:t>
      </w:r>
    </w:p>
    <w:p w14:paraId="12995D6B" w14:textId="51CFD449" w:rsidR="001A1046" w:rsidRPr="00DC3463" w:rsidRDefault="001A1046" w:rsidP="00DC3463">
      <w:pPr>
        <w:pStyle w:val="ReferenceOrdered"/>
      </w:pPr>
      <w:r w:rsidRPr="00DC3463">
        <w:t xml:space="preserve">FitzGerald JD, </w:t>
      </w:r>
      <w:proofErr w:type="spellStart"/>
      <w:r w:rsidRPr="00DC3463">
        <w:t>Dalbeth</w:t>
      </w:r>
      <w:proofErr w:type="spellEnd"/>
      <w:r w:rsidRPr="00DC3463">
        <w:t xml:space="preserve"> N, </w:t>
      </w:r>
      <w:proofErr w:type="spellStart"/>
      <w:r w:rsidRPr="00DC3463">
        <w:t>Mikuls</w:t>
      </w:r>
      <w:proofErr w:type="spellEnd"/>
      <w:r w:rsidRPr="00DC3463">
        <w:t xml:space="preserve"> T, et al. 2020 American College of Rheumatology Guideline for the Management of Gout [published correction appears in Arthritis Care Res (Hoboken). 2020 Aug;72(8):1187]. Arthritis Care Res (Hoboken). 2020;72(6):744-760.</w:t>
      </w:r>
    </w:p>
    <w:p w14:paraId="79518929" w14:textId="125F322B" w:rsidR="001A1046" w:rsidRPr="00DC3463" w:rsidRDefault="001A1046" w:rsidP="00DC3463">
      <w:pPr>
        <w:pStyle w:val="ReferenceOrdered"/>
      </w:pPr>
      <w:r w:rsidRPr="00DC3463">
        <w:t>Methotrexate [package insert]. Cranbury, NJ: Sun Pharmaceutical Industries, Inc.; August 2021.</w:t>
      </w:r>
    </w:p>
    <w:sectPr w:rsidR="001A1046" w:rsidRPr="00DC3463" w:rsidSect="0014779D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CD5E4" w14:textId="77777777" w:rsidR="006850DD" w:rsidRDefault="006850DD">
      <w:r>
        <w:separator/>
      </w:r>
    </w:p>
  </w:endnote>
  <w:endnote w:type="continuationSeparator" w:id="0">
    <w:p w14:paraId="68692F6A" w14:textId="77777777" w:rsidR="006850DD" w:rsidRDefault="006850DD">
      <w:r>
        <w:continuationSeparator/>
      </w:r>
    </w:p>
  </w:endnote>
  <w:endnote w:type="continuationNotice" w:id="1">
    <w:p w14:paraId="6C7BF256" w14:textId="77777777" w:rsidR="006850DD" w:rsidRDefault="006850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4C7483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4779D" w:rsidRPr="0014779D">
      <w:rPr>
        <w:rFonts w:cs="Arial"/>
        <w:noProof/>
        <w:sz w:val="16"/>
        <w:szCs w:val="16"/>
      </w:rPr>
      <w:t>Krystexxa</w:t>
    </w:r>
    <w:r w:rsidR="0014779D">
      <w:rPr>
        <w:rFonts w:cs="Arial"/>
        <w:noProof/>
        <w:snapToGrid w:val="0"/>
        <w:color w:val="000000"/>
        <w:sz w:val="16"/>
        <w:szCs w:val="16"/>
      </w:rPr>
      <w:t xml:space="preserve"> SGM 1803-A</w:t>
    </w:r>
    <w:r w:rsidR="0014779D" w:rsidRPr="0014779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9544D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A51E00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A9AA8FE" w:rsidR="00F75C81" w:rsidRPr="005A656C" w:rsidRDefault="00C36B72" w:rsidP="005A656C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8A87371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435FD0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4779D" w:rsidRPr="0014779D">
      <w:rPr>
        <w:rFonts w:cs="Arial"/>
        <w:noProof/>
        <w:sz w:val="16"/>
        <w:szCs w:val="16"/>
      </w:rPr>
      <w:t>Krystexxa</w:t>
    </w:r>
    <w:r w:rsidR="0014779D">
      <w:rPr>
        <w:rFonts w:cs="Arial"/>
        <w:noProof/>
        <w:snapToGrid w:val="0"/>
        <w:color w:val="000000"/>
        <w:sz w:val="16"/>
        <w:szCs w:val="16"/>
      </w:rPr>
      <w:t xml:space="preserve"> SGM 1803-A </w:t>
    </w:r>
    <w:r w:rsidR="0014779D" w:rsidRPr="0014779D">
      <w:rPr>
        <w:rFonts w:cs="Arial"/>
        <w:noProof/>
        <w:sz w:val="16"/>
        <w:szCs w:val="16"/>
      </w:rPr>
      <w:t>P2025.docx</w:t>
    </w:r>
    <w:r w:rsidRPr="00EC47B6">
      <w:rPr>
        <w:rFonts w:cs="Arial"/>
        <w:noProof/>
        <w:sz w:val="16"/>
        <w:szCs w:val="16"/>
      </w:rPr>
      <w:fldChar w:fldCharType="end"/>
    </w:r>
    <w:r w:rsidRPr="00435FD0">
      <w:rPr>
        <w:rFonts w:cs="Arial"/>
        <w:snapToGrid w:val="0"/>
        <w:color w:val="000000"/>
        <w:sz w:val="16"/>
      </w:rPr>
      <w:tab/>
      <w:t>© 202</w:t>
    </w:r>
    <w:r w:rsidR="0019544D">
      <w:rPr>
        <w:rFonts w:cs="Arial"/>
        <w:snapToGrid w:val="0"/>
        <w:color w:val="000000"/>
        <w:sz w:val="16"/>
      </w:rPr>
      <w:t>5</w:t>
    </w:r>
    <w:r w:rsidRPr="00435FD0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028F2D23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791D09B2" w:rsidR="00ED04EC" w:rsidRPr="00F50D98" w:rsidRDefault="00F50D98" w:rsidP="00E43BC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3BBD8" w14:textId="618A370D" w:rsidR="00746ED0" w:rsidRPr="00435FD0" w:rsidRDefault="00746ED0" w:rsidP="00746ED0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 w:rsidRPr="00435FD0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35FD0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\* MERGEFORMAT </w:instrText>
    </w:r>
    <w:r w:rsidRPr="00435FD0">
      <w:rPr>
        <w:rFonts w:cs="Arial"/>
        <w:noProof/>
        <w:snapToGrid w:val="0"/>
        <w:color w:val="000000"/>
        <w:sz w:val="16"/>
        <w:szCs w:val="16"/>
      </w:rPr>
      <w:fldChar w:fldCharType="separate"/>
    </w:r>
    <w:r>
      <w:rPr>
        <w:rFonts w:cs="Arial"/>
        <w:noProof/>
        <w:snapToGrid w:val="0"/>
        <w:color w:val="000000"/>
        <w:sz w:val="16"/>
        <w:szCs w:val="16"/>
        <w:lang w:val="pt-PT"/>
      </w:rPr>
      <w:t xml:space="preserve">Krystexxa </w:t>
    </w:r>
    <w:r w:rsidR="003233EC">
      <w:rPr>
        <w:rFonts w:cs="Arial"/>
        <w:noProof/>
        <w:snapToGrid w:val="0"/>
        <w:color w:val="000000"/>
        <w:sz w:val="16"/>
        <w:szCs w:val="16"/>
        <w:lang w:val="pt-PT"/>
      </w:rPr>
      <w:t xml:space="preserve">SGM </w:t>
    </w:r>
    <w:r>
      <w:rPr>
        <w:rFonts w:cs="Arial"/>
        <w:noProof/>
        <w:snapToGrid w:val="0"/>
        <w:color w:val="000000"/>
        <w:sz w:val="16"/>
        <w:szCs w:val="16"/>
        <w:lang w:val="pt-PT"/>
      </w:rPr>
      <w:t>1803-A 2024</w:t>
    </w:r>
    <w:r w:rsidR="003233EC">
      <w:rPr>
        <w:rFonts w:cs="Arial"/>
        <w:noProof/>
        <w:snapToGrid w:val="0"/>
        <w:color w:val="000000"/>
        <w:sz w:val="16"/>
        <w:szCs w:val="16"/>
        <w:lang w:val="pt-PT"/>
      </w:rPr>
      <w:t>_R</w:t>
    </w:r>
    <w:r>
      <w:rPr>
        <w:rFonts w:cs="Arial"/>
        <w:noProof/>
        <w:snapToGrid w:val="0"/>
        <w:color w:val="000000"/>
        <w:sz w:val="16"/>
        <w:szCs w:val="16"/>
        <w:lang w:val="pt-PT"/>
      </w:rPr>
      <w:t>.docx</w:t>
    </w:r>
    <w:r w:rsidRPr="00435FD0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35FD0">
      <w:rPr>
        <w:rFonts w:cs="Arial"/>
        <w:snapToGrid w:val="0"/>
        <w:color w:val="000000"/>
        <w:sz w:val="16"/>
        <w:lang w:val="pt-PT"/>
      </w:rPr>
      <w:tab/>
      <w:t xml:space="preserve">© 2024 CVS Caremark. </w:t>
    </w:r>
    <w:r w:rsidRPr="00435FD0">
      <w:rPr>
        <w:rFonts w:cs="Arial"/>
        <w:snapToGrid w:val="0"/>
        <w:color w:val="000000"/>
        <w:sz w:val="16"/>
      </w:rPr>
      <w:t>All rights reserved.</w:t>
    </w:r>
  </w:p>
  <w:p w14:paraId="788A0570" w14:textId="77777777" w:rsidR="00746ED0" w:rsidRPr="00435FD0" w:rsidRDefault="00746ED0" w:rsidP="00746ED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35FD0">
      <w:rPr>
        <w:rFonts w:cs="Arial"/>
        <w:sz w:val="16"/>
        <w:szCs w:val="16"/>
      </w:rPr>
      <w:t>This document contains c</w:t>
    </w:r>
    <w:r w:rsidRPr="00435FD0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35FD0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35FD0">
      <w:rPr>
        <w:rFonts w:cs="Arial"/>
        <w:snapToGrid w:val="0"/>
        <w:sz w:val="16"/>
        <w:szCs w:val="16"/>
      </w:rPr>
      <w:t>CVS Caremark</w:t>
    </w:r>
    <w:r w:rsidRPr="00435FD0">
      <w:rPr>
        <w:rFonts w:cs="Arial"/>
        <w:sz w:val="16"/>
        <w:szCs w:val="16"/>
      </w:rPr>
      <w:t xml:space="preserve">. </w:t>
    </w:r>
  </w:p>
  <w:p w14:paraId="61FF8DD3" w14:textId="77777777" w:rsidR="00746ED0" w:rsidRPr="00435FD0" w:rsidRDefault="00746ED0" w:rsidP="00746ED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435FD0">
      <w:rPr>
        <w:rFonts w:cs="Arial"/>
        <w:sz w:val="16"/>
        <w:szCs w:val="16"/>
      </w:rPr>
      <w:fldChar w:fldCharType="begin"/>
    </w:r>
    <w:r w:rsidRPr="00435FD0">
      <w:rPr>
        <w:rFonts w:cs="Arial"/>
        <w:sz w:val="16"/>
        <w:szCs w:val="16"/>
      </w:rPr>
      <w:instrText xml:space="preserve"> PAGE   \* MERGEFORMAT </w:instrText>
    </w:r>
    <w:r w:rsidRPr="00435FD0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4</w:t>
    </w:r>
    <w:r w:rsidRPr="00435FD0">
      <w:rPr>
        <w:rFonts w:cs="Arial"/>
        <w:noProof/>
        <w:sz w:val="16"/>
        <w:szCs w:val="16"/>
      </w:rPr>
      <w:fldChar w:fldCharType="end"/>
    </w:r>
  </w:p>
  <w:p w14:paraId="23F0C679" w14:textId="77777777" w:rsidR="00746ED0" w:rsidRPr="00435FD0" w:rsidRDefault="00746ED0" w:rsidP="00746ED0">
    <w:pPr>
      <w:autoSpaceDE w:val="0"/>
      <w:autoSpaceDN w:val="0"/>
      <w:adjustRightInd w:val="0"/>
      <w:jc w:val="right"/>
      <w:rPr>
        <w:rFonts w:cs="Arial"/>
        <w:sz w:val="16"/>
        <w:szCs w:val="16"/>
      </w:rPr>
    </w:pPr>
    <w:r w:rsidRPr="00435FD0">
      <w:rPr>
        <w:noProof/>
      </w:rPr>
      <w:drawing>
        <wp:inline distT="0" distB="0" distL="0" distR="0" wp14:anchorId="66FADC3B" wp14:editId="40DFC031">
          <wp:extent cx="1644063" cy="185980"/>
          <wp:effectExtent l="0" t="0" r="0" b="5080"/>
          <wp:docPr id="2" name="Picture 2" descr="CVS Caremark®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" name="Picture 105" descr="CVS Caremark®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44063" cy="185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5219C0" w14:textId="3AC00D35" w:rsidR="001A1046" w:rsidRPr="00F50D98" w:rsidRDefault="001A1046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615D" w14:textId="77777777" w:rsidR="006850DD" w:rsidRDefault="006850DD">
      <w:r>
        <w:separator/>
      </w:r>
    </w:p>
  </w:footnote>
  <w:footnote w:type="continuationSeparator" w:id="0">
    <w:p w14:paraId="7BD09631" w14:textId="77777777" w:rsidR="006850DD" w:rsidRDefault="006850DD">
      <w:r>
        <w:continuationSeparator/>
      </w:r>
    </w:p>
  </w:footnote>
  <w:footnote w:type="continuationNotice" w:id="1">
    <w:p w14:paraId="12E14A39" w14:textId="77777777" w:rsidR="006850DD" w:rsidRDefault="006850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A1046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A1046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E2A307E" w:rsidR="00ED04EC" w:rsidRPr="001A1046" w:rsidRDefault="001A1046" w:rsidP="00ED04EC">
          <w:pPr>
            <w:pStyle w:val="Header"/>
            <w:rPr>
              <w:rFonts w:cs="Arial"/>
              <w:sz w:val="16"/>
              <w:szCs w:val="16"/>
            </w:rPr>
          </w:pPr>
          <w:r w:rsidRPr="001A1046">
            <w:rPr>
              <w:rFonts w:cs="Arial"/>
              <w:sz w:val="16"/>
              <w:szCs w:val="16"/>
            </w:rPr>
            <w:t>1803-A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A1046" w:rsidRPr="001A1046" w14:paraId="765F33C4" w14:textId="77777777" w:rsidTr="001562CC">
      <w:trPr>
        <w:trHeight w:val="144"/>
        <w:jc w:val="right"/>
      </w:trPr>
      <w:tc>
        <w:tcPr>
          <w:tcW w:w="1854" w:type="dxa"/>
          <w:hideMark/>
        </w:tcPr>
        <w:p w14:paraId="14575B88" w14:textId="77777777" w:rsidR="001A1046" w:rsidRPr="001A1046" w:rsidRDefault="001A1046" w:rsidP="001A1046">
          <w:pPr>
            <w:pStyle w:val="Header"/>
            <w:rPr>
              <w:rFonts w:cs="Arial"/>
              <w:sz w:val="16"/>
              <w:szCs w:val="16"/>
            </w:rPr>
          </w:pPr>
          <w:r w:rsidRPr="001A1046">
            <w:rPr>
              <w:rFonts w:cs="Arial"/>
              <w:sz w:val="16"/>
              <w:szCs w:val="16"/>
            </w:rPr>
            <w:t>Reference number(s)</w:t>
          </w:r>
        </w:p>
      </w:tc>
    </w:tr>
    <w:tr w:rsidR="001A1046" w:rsidRPr="001A1046" w14:paraId="05F3444B" w14:textId="77777777" w:rsidTr="001562CC">
      <w:trPr>
        <w:trHeight w:val="378"/>
        <w:jc w:val="right"/>
      </w:trPr>
      <w:tc>
        <w:tcPr>
          <w:tcW w:w="1854" w:type="dxa"/>
          <w:hideMark/>
        </w:tcPr>
        <w:p w14:paraId="3D51CB5B" w14:textId="77777777" w:rsidR="001A1046" w:rsidRPr="001A1046" w:rsidRDefault="001A1046" w:rsidP="001A1046">
          <w:pPr>
            <w:pStyle w:val="Header"/>
            <w:rPr>
              <w:rFonts w:cs="Arial"/>
              <w:sz w:val="16"/>
              <w:szCs w:val="16"/>
            </w:rPr>
          </w:pPr>
          <w:r w:rsidRPr="001A1046">
            <w:rPr>
              <w:rFonts w:cs="Arial"/>
              <w:sz w:val="16"/>
              <w:szCs w:val="16"/>
            </w:rPr>
            <w:t>1803-A</w:t>
          </w:r>
        </w:p>
      </w:tc>
    </w:tr>
  </w:tbl>
  <w:p w14:paraId="098A2919" w14:textId="77777777" w:rsidR="001A1046" w:rsidRPr="001A1046" w:rsidRDefault="001A1046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942C65"/>
    <w:multiLevelType w:val="hybridMultilevel"/>
    <w:tmpl w:val="164EFD1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C8013F2"/>
    <w:multiLevelType w:val="hybridMultilevel"/>
    <w:tmpl w:val="86803E30"/>
    <w:lvl w:ilvl="0" w:tplc="7584B91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36CC8D7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F9425C"/>
    <w:multiLevelType w:val="hybridMultilevel"/>
    <w:tmpl w:val="950C58C6"/>
    <w:lvl w:ilvl="0" w:tplc="37AC523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100E554E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4068C"/>
    <w:multiLevelType w:val="hybridMultilevel"/>
    <w:tmpl w:val="90F225F8"/>
    <w:lvl w:ilvl="0" w:tplc="E938C02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435F7"/>
    <w:multiLevelType w:val="hybridMultilevel"/>
    <w:tmpl w:val="23B8C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55155"/>
    <w:multiLevelType w:val="hybridMultilevel"/>
    <w:tmpl w:val="00CA9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21F3C"/>
    <w:multiLevelType w:val="hybridMultilevel"/>
    <w:tmpl w:val="F3BAD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D6785"/>
    <w:multiLevelType w:val="hybridMultilevel"/>
    <w:tmpl w:val="63D8E04E"/>
    <w:lvl w:ilvl="0" w:tplc="0E84375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366C2D"/>
    <w:multiLevelType w:val="hybridMultilevel"/>
    <w:tmpl w:val="70CA8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66F1C"/>
    <w:multiLevelType w:val="hybridMultilevel"/>
    <w:tmpl w:val="BA4EF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640984"/>
    <w:multiLevelType w:val="hybridMultilevel"/>
    <w:tmpl w:val="15E8B230"/>
    <w:lvl w:ilvl="0" w:tplc="392A8FAA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720A6"/>
    <w:multiLevelType w:val="hybridMultilevel"/>
    <w:tmpl w:val="CDC6CF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F313E"/>
    <w:multiLevelType w:val="hybridMultilevel"/>
    <w:tmpl w:val="321A81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4"/>
  </w:num>
  <w:num w:numId="3" w16cid:durableId="611589570">
    <w:abstractNumId w:val="2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7"/>
  </w:num>
  <w:num w:numId="18" w16cid:durableId="299724409">
    <w:abstractNumId w:val="31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40"/>
  </w:num>
  <w:num w:numId="22" w16cid:durableId="1472481103">
    <w:abstractNumId w:val="33"/>
  </w:num>
  <w:num w:numId="23" w16cid:durableId="1997420403">
    <w:abstractNumId w:val="35"/>
  </w:num>
  <w:num w:numId="24" w16cid:durableId="33312838">
    <w:abstractNumId w:val="32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2"/>
  </w:num>
  <w:num w:numId="28" w16cid:durableId="2090928283">
    <w:abstractNumId w:val="30"/>
  </w:num>
  <w:num w:numId="29" w16cid:durableId="1010251980">
    <w:abstractNumId w:val="17"/>
  </w:num>
  <w:num w:numId="30" w16cid:durableId="1138841194">
    <w:abstractNumId w:val="38"/>
  </w:num>
  <w:num w:numId="31" w16cid:durableId="1696223784">
    <w:abstractNumId w:val="39"/>
  </w:num>
  <w:num w:numId="32" w16cid:durableId="1435513106">
    <w:abstractNumId w:val="24"/>
  </w:num>
  <w:num w:numId="33" w16cid:durableId="735475681">
    <w:abstractNumId w:val="15"/>
  </w:num>
  <w:num w:numId="34" w16cid:durableId="1805082873">
    <w:abstractNumId w:val="13"/>
  </w:num>
  <w:num w:numId="35" w16cid:durableId="991760383">
    <w:abstractNumId w:val="26"/>
  </w:num>
  <w:num w:numId="36" w16cid:durableId="923343416">
    <w:abstractNumId w:val="36"/>
  </w:num>
  <w:num w:numId="37" w16cid:durableId="1685596697">
    <w:abstractNumId w:val="23"/>
  </w:num>
  <w:num w:numId="38" w16cid:durableId="1988897430">
    <w:abstractNumId w:val="27"/>
  </w:num>
  <w:num w:numId="39" w16cid:durableId="1627655964">
    <w:abstractNumId w:val="29"/>
  </w:num>
  <w:num w:numId="40" w16cid:durableId="1901284529">
    <w:abstractNumId w:val="19"/>
  </w:num>
  <w:num w:numId="41" w16cid:durableId="1083261487">
    <w:abstractNumId w:val="40"/>
  </w:num>
  <w:num w:numId="42" w16cid:durableId="139159822">
    <w:abstractNumId w:val="40"/>
  </w:num>
  <w:num w:numId="43" w16cid:durableId="1296985304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010"/>
    <w:rsid w:val="00062816"/>
    <w:rsid w:val="00064347"/>
    <w:rsid w:val="00064396"/>
    <w:rsid w:val="00065AC6"/>
    <w:rsid w:val="00066D4B"/>
    <w:rsid w:val="0006765E"/>
    <w:rsid w:val="00067732"/>
    <w:rsid w:val="0006774C"/>
    <w:rsid w:val="000706FD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2D5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107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73F"/>
    <w:rsid w:val="00146C1A"/>
    <w:rsid w:val="0014779D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544D"/>
    <w:rsid w:val="0019677F"/>
    <w:rsid w:val="0019733B"/>
    <w:rsid w:val="00197771"/>
    <w:rsid w:val="001A0E7C"/>
    <w:rsid w:val="001A1046"/>
    <w:rsid w:val="001A2781"/>
    <w:rsid w:val="001A2987"/>
    <w:rsid w:val="001A320A"/>
    <w:rsid w:val="001A33ED"/>
    <w:rsid w:val="001A432B"/>
    <w:rsid w:val="001A432C"/>
    <w:rsid w:val="001A4C1C"/>
    <w:rsid w:val="001A4D4D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F0D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2F30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0ED4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37F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3EC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685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15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5FD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3D1E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5E9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FB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67768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387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6C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0DD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B7B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ED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2E9B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612F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7F1F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559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BAA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6646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8E0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97C5D"/>
    <w:rsid w:val="009A0FE4"/>
    <w:rsid w:val="009A1480"/>
    <w:rsid w:val="009A35FA"/>
    <w:rsid w:val="009A3D32"/>
    <w:rsid w:val="009A3DE5"/>
    <w:rsid w:val="009A42EE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ACE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0AD8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27C5F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08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2CA6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63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9EF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BCB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486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0D0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035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5ECC6B8-B633-4BE2-9B61-24BA519D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9148E0"/>
    <w:pPr>
      <w:numPr>
        <w:numId w:val="43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81E7E8B7-417A-4A23-A02D-0E36667097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884</Words>
  <Characters>5397</Characters>
  <Application>Microsoft Office Word</Application>
  <DocSecurity>0</DocSecurity>
  <Lines>107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>Krystexxa 1803-A SGM 2024</vt:lpstr>
      <vt:lpstr>Specialty Guideline Management Krystexxa</vt:lpstr>
      <vt:lpstr>    Products Referenced by this Document</vt:lpstr>
      <vt:lpstr>    Indications</vt:lpstr>
      <vt:lpstr>        FDA-Approved Indications1</vt:lpstr>
      <vt:lpstr>    Documentation</vt:lpstr>
      <vt:lpstr>    Coverage Criteria</vt:lpstr>
      <vt:lpstr>        Chronic Gout1-12</vt:lpstr>
      <vt:lpstr>    Continuation of Therapy</vt:lpstr>
      <vt:lpstr>    Appendix</vt:lpstr>
      <vt:lpstr>        Appendix A: Clinical Reasons for not Completing a Three-Month Trial with Allopur</vt:lpstr>
      <vt:lpstr>        Appendix B: Contraindications/Clinical Reasons to Avoid Oral Methotrexate Therap</vt:lpstr>
      <vt:lpstr>    References</vt:lpstr>
      <vt:lpstr>    Document History</vt:lpstr>
    </vt:vector>
  </TitlesOfParts>
  <Company>PCS Health Systems</Company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Krystexxa SGM 1803-A</dc:title>
  <dc:subject/>
  <dc:creator>CVS Caremark</dc:creator>
  <cp:keywords/>
  <cp:lastModifiedBy>Huerta, Linda M</cp:lastModifiedBy>
  <cp:revision>10</cp:revision>
  <cp:lastPrinted>2018-01-09T05:01:00Z</cp:lastPrinted>
  <dcterms:created xsi:type="dcterms:W3CDTF">2025-03-10T16:13:00Z</dcterms:created>
  <dcterms:modified xsi:type="dcterms:W3CDTF">2025-03-10T16:37:00Z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1139100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_SourceUrl">
    <vt:lpwstr/>
  </property>
  <property fmtid="{D5CDD505-2E9C-101B-9397-08002B2CF9AE}" pid="18" name="_SharedFileIndex">
    <vt:lpwstr/>
  </property>
  <property fmtid="{D5CDD505-2E9C-101B-9397-08002B2CF9AE}" pid="19" name="TemplateUrl">
    <vt:lpwstr/>
  </property>
</Properties>
</file>